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仿宋"/>
          <w:color w:val="FF0000"/>
          <w:w w:val="80"/>
          <w:sz w:val="84"/>
          <w:szCs w:val="84"/>
        </w:rPr>
      </w:pPr>
      <w:r>
        <w:rPr>
          <w:rFonts w:hint="eastAsia" w:ascii="宋体" w:hAnsi="宋体" w:cs="仿宋"/>
          <w:color w:val="FF0000"/>
          <w:w w:val="80"/>
          <w:sz w:val="84"/>
          <w:szCs w:val="84"/>
        </w:rPr>
        <w:t>南 昌 大 学 部 门 函 件</w:t>
      </w:r>
    </w:p>
    <w:p>
      <w:pPr>
        <w:tabs>
          <w:tab w:val="left" w:pos="180"/>
        </w:tabs>
        <w:jc w:val="center"/>
        <w:rPr>
          <w:sz w:val="28"/>
          <w:szCs w:val="28"/>
          <w:u w:val="thick"/>
        </w:rPr>
      </w:pPr>
      <w:r>
        <w:rPr>
          <w:sz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322580</wp:posOffset>
                </wp:positionV>
                <wp:extent cx="5615940" cy="8890"/>
                <wp:effectExtent l="0" t="4445" r="10160" b="5715"/>
                <wp:wrapNone/>
                <wp:docPr id="2" name="直线 4"/>
                <wp:cNvGraphicFramePr/>
                <a:graphic xmlns:a="http://schemas.openxmlformats.org/drawingml/2006/main">
                  <a:graphicData uri="http://schemas.microsoft.com/office/word/2010/wordprocessingShape">
                    <wps:wsp>
                      <wps:cNvCnPr/>
                      <wps:spPr>
                        <a:xfrm flipV="1">
                          <a:off x="0" y="0"/>
                          <a:ext cx="5615940" cy="889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flip:y;margin-left:0pt;margin-top:25.4pt;height:0.7pt;width:442.2pt;z-index:251660288;mso-width-relative:page;mso-height-relative:page;" filled="f" stroked="t" coordsize="21600,21600" o:gfxdata="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Ar7pW1gAAAAYBAAAPAAAAAAAAAAEAIAAAACIAAABkcnMvZG93bnJldi54bWxQSwEC&#10;FAAUAAAACACHTuJAbpEjgfYBAADoAwAADgAAAAAAAAABACAAAAAlAQAAZHJzL2Uyb0RvYy54bWxQ&#10;SwUGAAAAAAYABgBZAQAAjQUAAAAA&#10;">
                <v:fill on="f" focussize="0,0"/>
                <v:stroke color="#FF0000" joinstyle="round"/>
                <v:imagedata o:title=""/>
                <o:lock v:ext="edit" aspectratio="f"/>
              </v:line>
            </w:pict>
          </mc:Fallback>
        </mc:AlternateContent>
      </w:r>
      <w:r>
        <w:rPr>
          <w:color w:val="FF0000"/>
          <w:sz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266700</wp:posOffset>
                </wp:positionV>
                <wp:extent cx="5615940" cy="10160"/>
                <wp:effectExtent l="0" t="635" r="10160" b="14605"/>
                <wp:wrapNone/>
                <wp:docPr id="1" name="直线 3"/>
                <wp:cNvGraphicFramePr/>
                <a:graphic xmlns:a="http://schemas.openxmlformats.org/drawingml/2006/main">
                  <a:graphicData uri="http://schemas.microsoft.com/office/word/2010/wordprocessingShape">
                    <wps:wsp>
                      <wps:cNvCnPr/>
                      <wps:spPr>
                        <a:xfrm flipV="1">
                          <a:off x="0" y="0"/>
                          <a:ext cx="5615940" cy="1016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0pt;margin-top:21pt;height:0.8pt;width:442.2pt;z-index:251659264;mso-width-relative:page;mso-height-relative:page;" filled="f" stroked="t" coordsize="21600,21600" o:gfxdata="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VW9YvTAAAABgEAAA8AAAAAAAAAAQAgAAAAIgAAAGRycy9kb3ducmV2LnhtbFBLAQIUABQA&#10;AAAIAIdO4kDYw14G9QEAAOoDAAAOAAAAAAAAAAEAIAAAACIBAABkcnMvZTJvRG9jLnhtbFBLBQYA&#10;AAAABgAGAFkBAACJBQAAAAA=&#10;">
                <v:fill on="f" focussize="0,0"/>
                <v:stroke weight="2pt" color="#FF0000" joinstyle="round"/>
                <v:imagedata o:title=""/>
                <o:lock v:ext="edit" aspectratio="f"/>
              </v:line>
            </w:pict>
          </mc:Fallback>
        </mc:AlternateContent>
      </w:r>
    </w:p>
    <w:p>
      <w:pPr>
        <w:wordWrap w:val="0"/>
        <w:spacing w:after="156" w:afterLines="50"/>
        <w:jc w:val="right"/>
        <w:rPr>
          <w:rFonts w:ascii="仿宋_GB2312" w:eastAsia="仿宋_GB2312"/>
          <w:sz w:val="32"/>
          <w:szCs w:val="32"/>
        </w:rPr>
      </w:pPr>
      <w:r>
        <w:rPr>
          <w:rFonts w:hint="eastAsia" w:ascii="仿宋_GB2312" w:eastAsia="仿宋_GB2312"/>
          <w:sz w:val="32"/>
          <w:szCs w:val="32"/>
        </w:rPr>
        <w:t>南大教函</w:t>
      </w:r>
      <w:r>
        <w:rPr>
          <w:rFonts w:hint="eastAsia" w:ascii="仿宋_GB2312" w:hAnsi="宋体" w:eastAsia="仿宋_GB2312"/>
          <w:sz w:val="32"/>
          <w:szCs w:val="32"/>
        </w:rPr>
        <w:t>〔2023〕</w:t>
      </w:r>
      <w:r>
        <w:rPr>
          <w:rFonts w:hint="eastAsia" w:ascii="仿宋_GB2312" w:hAnsi="宋体" w:eastAsia="仿宋_GB2312"/>
          <w:sz w:val="32"/>
          <w:szCs w:val="32"/>
          <w:lang w:val="en-US" w:eastAsia="zh-CN"/>
        </w:rPr>
        <w:t>5</w:t>
      </w:r>
      <w:r>
        <w:rPr>
          <w:rFonts w:hint="eastAsia" w:ascii="仿宋_GB2312" w:hAnsi="宋体" w:eastAsia="仿宋_GB2312"/>
          <w:sz w:val="32"/>
          <w:szCs w:val="32"/>
        </w:rPr>
        <w:t>号</w:t>
      </w:r>
    </w:p>
    <w:p>
      <w:pPr>
        <w:widowControl/>
        <w:adjustRightInd w:val="0"/>
        <w:snapToGrid w:val="0"/>
        <w:spacing w:line="360" w:lineRule="auto"/>
        <w:jc w:val="center"/>
        <w:rPr>
          <w:rFonts w:asciiTheme="majorEastAsia" w:hAnsiTheme="majorEastAsia" w:eastAsiaTheme="majorEastAsia"/>
          <w:b/>
          <w:kern w:val="0"/>
          <w:sz w:val="36"/>
          <w:szCs w:val="36"/>
        </w:rPr>
      </w:pPr>
      <w:r>
        <w:rPr>
          <w:rFonts w:hint="eastAsia" w:asciiTheme="majorEastAsia" w:hAnsiTheme="majorEastAsia" w:eastAsiaTheme="majorEastAsia"/>
          <w:b/>
          <w:kern w:val="0"/>
          <w:sz w:val="36"/>
          <w:szCs w:val="36"/>
        </w:rPr>
        <w:t>南昌大学本科教学教师调（代）课管理办法</w:t>
      </w:r>
      <w:r>
        <w:rPr>
          <w:rFonts w:asciiTheme="majorEastAsia" w:hAnsiTheme="majorEastAsia" w:eastAsiaTheme="majorEastAsia"/>
          <w:b/>
          <w:kern w:val="0"/>
          <w:sz w:val="36"/>
          <w:szCs w:val="36"/>
        </w:rPr>
        <w:t>(修订）</w:t>
      </w:r>
    </w:p>
    <w:p>
      <w:pPr>
        <w:spacing w:line="360" w:lineRule="auto"/>
        <w:jc w:val="center"/>
        <w:rPr>
          <w:rFonts w:ascii="仿宋" w:hAnsi="仿宋" w:eastAsia="仿宋"/>
          <w:b/>
          <w:bCs/>
          <w:sz w:val="32"/>
          <w:szCs w:val="32"/>
        </w:rPr>
      </w:pPr>
      <w:r>
        <w:rPr>
          <w:rFonts w:hint="eastAsia" w:ascii="仿宋" w:hAnsi="仿宋" w:eastAsia="仿宋"/>
          <w:b/>
          <w:bCs/>
          <w:sz w:val="32"/>
          <w:szCs w:val="32"/>
        </w:rPr>
        <w:t>第一章</w:t>
      </w:r>
      <w:r>
        <w:rPr>
          <w:rFonts w:ascii="仿宋" w:hAnsi="仿宋" w:eastAsia="仿宋"/>
          <w:b/>
          <w:bCs/>
          <w:sz w:val="32"/>
          <w:szCs w:val="32"/>
        </w:rPr>
        <w:t xml:space="preserve">   总则</w:t>
      </w:r>
    </w:p>
    <w:p>
      <w:pPr>
        <w:spacing w:line="360" w:lineRule="auto"/>
        <w:ind w:firstLine="640" w:firstLineChars="200"/>
        <w:jc w:val="left"/>
        <w:rPr>
          <w:rFonts w:ascii="仿宋_GB2312" w:eastAsia="仿宋_GB2312" w:hAnsiTheme="majorEastAsia"/>
          <w:kern w:val="0"/>
          <w:sz w:val="32"/>
          <w:szCs w:val="32"/>
        </w:rPr>
      </w:pPr>
      <w:r>
        <w:rPr>
          <w:rFonts w:hint="eastAsia" w:ascii="仿宋_GB2312" w:eastAsia="仿宋_GB2312" w:hAnsiTheme="majorEastAsia"/>
          <w:kern w:val="0"/>
          <w:sz w:val="32"/>
          <w:szCs w:val="32"/>
        </w:rPr>
        <w:t>第一条  为了进一步规范教师教学工作制度，加强教学纪律，维护正常的教学秩序，确保教学质量，创建优良教风，特制定本办法。</w:t>
      </w:r>
    </w:p>
    <w:p>
      <w:pPr>
        <w:spacing w:line="360" w:lineRule="auto"/>
        <w:jc w:val="center"/>
        <w:rPr>
          <w:rFonts w:ascii="仿宋_GB2312" w:eastAsia="仿宋_GB2312" w:hAnsiTheme="majorEastAsia"/>
          <w:b/>
          <w:bCs/>
          <w:kern w:val="0"/>
          <w:sz w:val="32"/>
          <w:szCs w:val="32"/>
        </w:rPr>
      </w:pPr>
      <w:r>
        <w:rPr>
          <w:rFonts w:hint="eastAsia" w:ascii="仿宋_GB2312" w:eastAsia="仿宋_GB2312" w:hAnsiTheme="majorEastAsia"/>
          <w:b/>
          <w:bCs/>
          <w:kern w:val="0"/>
          <w:sz w:val="32"/>
          <w:szCs w:val="32"/>
        </w:rPr>
        <w:t>第二章</w:t>
      </w:r>
      <w:r>
        <w:rPr>
          <w:rFonts w:ascii="仿宋_GB2312" w:eastAsia="仿宋_GB2312" w:hAnsiTheme="majorEastAsia"/>
          <w:b/>
          <w:bCs/>
          <w:kern w:val="0"/>
          <w:sz w:val="32"/>
          <w:szCs w:val="32"/>
        </w:rPr>
        <w:t xml:space="preserve"> 适用对象</w:t>
      </w:r>
    </w:p>
    <w:p>
      <w:pPr>
        <w:spacing w:line="360" w:lineRule="auto"/>
        <w:ind w:firstLine="640" w:firstLineChars="200"/>
        <w:jc w:val="left"/>
        <w:rPr>
          <w:rFonts w:ascii="仿宋_GB2312" w:eastAsia="仿宋_GB2312" w:hAnsiTheme="majorEastAsia"/>
          <w:kern w:val="0"/>
          <w:sz w:val="32"/>
          <w:szCs w:val="32"/>
        </w:rPr>
      </w:pPr>
      <w:r>
        <w:rPr>
          <w:rFonts w:hint="eastAsia" w:ascii="仿宋_GB2312" w:eastAsia="仿宋_GB2312" w:hAnsiTheme="majorEastAsia"/>
          <w:kern w:val="0"/>
          <w:sz w:val="32"/>
          <w:szCs w:val="32"/>
        </w:rPr>
        <w:t>第二条  本办法适用于承担南昌大学本科教学任务的教学单位及授课教师。</w:t>
      </w:r>
    </w:p>
    <w:p>
      <w:pPr>
        <w:spacing w:line="360" w:lineRule="auto"/>
        <w:jc w:val="center"/>
        <w:rPr>
          <w:rFonts w:ascii="仿宋_GB2312" w:eastAsia="仿宋_GB2312" w:hAnsiTheme="majorEastAsia"/>
          <w:b/>
          <w:bCs/>
          <w:kern w:val="0"/>
          <w:sz w:val="32"/>
          <w:szCs w:val="32"/>
        </w:rPr>
      </w:pPr>
      <w:r>
        <w:rPr>
          <w:rFonts w:hint="eastAsia" w:ascii="仿宋_GB2312" w:eastAsia="仿宋_GB2312" w:hAnsiTheme="majorEastAsia"/>
          <w:b/>
          <w:bCs/>
          <w:kern w:val="0"/>
          <w:sz w:val="32"/>
          <w:szCs w:val="32"/>
        </w:rPr>
        <w:t>第三章</w:t>
      </w:r>
      <w:r>
        <w:rPr>
          <w:rFonts w:ascii="仿宋_GB2312" w:eastAsia="仿宋_GB2312" w:hAnsiTheme="majorEastAsia"/>
          <w:b/>
          <w:bCs/>
          <w:kern w:val="0"/>
          <w:sz w:val="32"/>
          <w:szCs w:val="32"/>
        </w:rPr>
        <w:t xml:space="preserve"> 调课原则</w:t>
      </w:r>
    </w:p>
    <w:p>
      <w:pPr>
        <w:spacing w:line="360" w:lineRule="auto"/>
        <w:ind w:firstLine="640" w:firstLineChars="200"/>
        <w:jc w:val="left"/>
        <w:rPr>
          <w:rFonts w:ascii="仿宋_GB2312" w:eastAsia="仿宋_GB2312" w:hAnsiTheme="majorEastAsia"/>
          <w:kern w:val="0"/>
          <w:sz w:val="32"/>
          <w:szCs w:val="32"/>
        </w:rPr>
      </w:pPr>
      <w:r>
        <w:rPr>
          <w:rFonts w:hint="eastAsia" w:ascii="仿宋_GB2312" w:eastAsia="仿宋_GB2312" w:hAnsiTheme="majorEastAsia"/>
          <w:kern w:val="0"/>
          <w:sz w:val="32"/>
          <w:szCs w:val="32"/>
        </w:rPr>
        <w:t>第三条  课表是学校组织课程教学、实施教学运行管理的主要依据，任何部门和个人不得随意变动。授课教师必须按照开课计划和课表按时足量完成教学任务，不得以任何理由缩减授课计划学时数。</w:t>
      </w:r>
    </w:p>
    <w:p>
      <w:pPr>
        <w:spacing w:line="360" w:lineRule="auto"/>
        <w:ind w:firstLine="640" w:firstLineChars="200"/>
        <w:jc w:val="left"/>
        <w:rPr>
          <w:rFonts w:ascii="仿宋_GB2312" w:eastAsia="仿宋_GB2312" w:hAnsiTheme="majorEastAsia"/>
          <w:kern w:val="0"/>
          <w:sz w:val="32"/>
          <w:szCs w:val="32"/>
        </w:rPr>
      </w:pPr>
      <w:r>
        <w:rPr>
          <w:rFonts w:hint="eastAsia" w:ascii="仿宋_GB2312" w:eastAsia="仿宋_GB2312" w:hAnsiTheme="majorEastAsia"/>
          <w:kern w:val="0"/>
          <w:sz w:val="32"/>
          <w:szCs w:val="32"/>
        </w:rPr>
        <w:t xml:space="preserve">第四条  </w:t>
      </w:r>
      <w:r>
        <w:rPr>
          <w:rFonts w:ascii="仿宋_GB2312" w:eastAsia="仿宋_GB2312" w:hAnsiTheme="majorEastAsia"/>
          <w:kern w:val="0"/>
          <w:sz w:val="32"/>
          <w:szCs w:val="32"/>
        </w:rPr>
        <w:t>调课是指授课教师因特殊原因确需变更上课时间或上课地点的情况，代课是指因特殊原因确需变更授课教师的情况。教学过程中如遇下列情况，可按规定流程申请办理调（代）课</w:t>
      </w:r>
      <w:r>
        <w:rPr>
          <w:rFonts w:hint="eastAsia" w:ascii="仿宋_GB2312" w:eastAsia="仿宋_GB2312" w:hAnsiTheme="majorEastAsia"/>
          <w:kern w:val="0"/>
          <w:sz w:val="32"/>
          <w:szCs w:val="32"/>
        </w:rPr>
        <w:t>：</w:t>
      </w:r>
    </w:p>
    <w:p>
      <w:pPr>
        <w:spacing w:line="360" w:lineRule="auto"/>
        <w:ind w:firstLine="640" w:firstLineChars="200"/>
        <w:jc w:val="left"/>
        <w:rPr>
          <w:rFonts w:ascii="仿宋_GB2312" w:eastAsia="仿宋_GB2312" w:hAnsiTheme="majorEastAsia"/>
          <w:kern w:val="0"/>
          <w:sz w:val="32"/>
          <w:szCs w:val="32"/>
        </w:rPr>
      </w:pPr>
      <w:r>
        <w:rPr>
          <w:rFonts w:hint="eastAsia" w:ascii="仿宋_GB2312" w:eastAsia="仿宋_GB2312" w:hAnsiTheme="majorEastAsia"/>
          <w:kern w:val="0"/>
          <w:sz w:val="32"/>
          <w:szCs w:val="32"/>
        </w:rPr>
        <w:t>（一）</w:t>
      </w:r>
      <w:r>
        <w:rPr>
          <w:rFonts w:ascii="仿宋_GB2312" w:eastAsia="仿宋_GB2312" w:hAnsiTheme="majorEastAsia"/>
          <w:kern w:val="0"/>
          <w:sz w:val="32"/>
          <w:szCs w:val="32"/>
        </w:rPr>
        <w:t>授课教师因生病或直系亲属突发疾病等特殊原因确需本人照顾者（因病需提供医院出具的相关证明材料，其他突发事件需提供相关证明材料）；</w:t>
      </w:r>
    </w:p>
    <w:p>
      <w:pPr>
        <w:spacing w:line="360" w:lineRule="auto"/>
        <w:ind w:firstLine="640" w:firstLineChars="200"/>
        <w:jc w:val="left"/>
        <w:rPr>
          <w:rFonts w:ascii="仿宋_GB2312" w:eastAsia="仿宋_GB2312" w:hAnsiTheme="majorEastAsia"/>
          <w:kern w:val="0"/>
          <w:sz w:val="32"/>
          <w:szCs w:val="32"/>
        </w:rPr>
      </w:pPr>
      <w:r>
        <w:rPr>
          <w:rFonts w:hint="eastAsia" w:ascii="仿宋_GB2312" w:eastAsia="仿宋_GB2312" w:hAnsiTheme="majorEastAsia"/>
          <w:kern w:val="0"/>
          <w:sz w:val="32"/>
          <w:szCs w:val="32"/>
        </w:rPr>
        <w:t>（二）</w:t>
      </w:r>
      <w:r>
        <w:rPr>
          <w:rFonts w:ascii="仿宋_GB2312" w:eastAsia="仿宋_GB2312" w:hAnsiTheme="majorEastAsia"/>
          <w:kern w:val="0"/>
          <w:sz w:val="32"/>
          <w:szCs w:val="32"/>
        </w:rPr>
        <w:t>授课教师参加重要教学或学术会议及培训（需提供会议或培训通知等有关证明材料）；</w:t>
      </w:r>
    </w:p>
    <w:p>
      <w:pPr>
        <w:spacing w:line="360" w:lineRule="auto"/>
        <w:ind w:firstLine="640" w:firstLineChars="200"/>
        <w:jc w:val="left"/>
        <w:rPr>
          <w:rFonts w:ascii="仿宋_GB2312" w:eastAsia="仿宋_GB2312" w:hAnsiTheme="majorEastAsia"/>
          <w:kern w:val="0"/>
          <w:sz w:val="32"/>
          <w:szCs w:val="32"/>
        </w:rPr>
      </w:pPr>
      <w:r>
        <w:rPr>
          <w:rFonts w:hint="eastAsia" w:ascii="仿宋_GB2312" w:eastAsia="仿宋_GB2312" w:hAnsiTheme="majorEastAsia"/>
          <w:kern w:val="0"/>
          <w:sz w:val="32"/>
          <w:szCs w:val="32"/>
        </w:rPr>
        <w:t>（三）</w:t>
      </w:r>
      <w:r>
        <w:rPr>
          <w:rFonts w:ascii="仿宋_GB2312" w:eastAsia="仿宋_GB2312" w:hAnsiTheme="majorEastAsia"/>
          <w:kern w:val="0"/>
          <w:sz w:val="32"/>
          <w:szCs w:val="32"/>
        </w:rPr>
        <w:t>授课教师参加重要教学或科研项目申报、评审、答辩等 (需提供会议通知等有关证明材料)；</w:t>
      </w:r>
    </w:p>
    <w:p>
      <w:pPr>
        <w:spacing w:line="360" w:lineRule="auto"/>
        <w:ind w:firstLine="640" w:firstLineChars="200"/>
        <w:jc w:val="left"/>
        <w:rPr>
          <w:rFonts w:ascii="仿宋_GB2312" w:eastAsia="仿宋_GB2312" w:hAnsiTheme="majorEastAsia"/>
          <w:kern w:val="0"/>
          <w:sz w:val="32"/>
          <w:szCs w:val="32"/>
        </w:rPr>
      </w:pPr>
      <w:r>
        <w:rPr>
          <w:rFonts w:hint="eastAsia" w:ascii="仿宋_GB2312" w:eastAsia="仿宋_GB2312" w:hAnsiTheme="majorEastAsia"/>
          <w:kern w:val="0"/>
          <w:sz w:val="32"/>
          <w:szCs w:val="32"/>
        </w:rPr>
        <w:t>（四）</w:t>
      </w:r>
      <w:r>
        <w:rPr>
          <w:rFonts w:ascii="仿宋_GB2312" w:eastAsia="仿宋_GB2312" w:hAnsiTheme="majorEastAsia"/>
          <w:kern w:val="0"/>
          <w:sz w:val="32"/>
          <w:szCs w:val="32"/>
        </w:rPr>
        <w:t>授课教师因其它符合学校请假规定的特殊情况或突发事件无法上课者。</w:t>
      </w:r>
    </w:p>
    <w:p>
      <w:pPr>
        <w:spacing w:line="360" w:lineRule="auto"/>
        <w:jc w:val="center"/>
        <w:rPr>
          <w:rFonts w:ascii="仿宋_GB2312" w:eastAsia="仿宋_GB2312" w:hAnsiTheme="majorEastAsia"/>
          <w:b/>
          <w:bCs/>
          <w:kern w:val="0"/>
          <w:sz w:val="32"/>
          <w:szCs w:val="32"/>
        </w:rPr>
      </w:pPr>
      <w:r>
        <w:rPr>
          <w:rFonts w:hint="eastAsia" w:ascii="仿宋_GB2312" w:eastAsia="仿宋_GB2312" w:hAnsiTheme="majorEastAsia"/>
          <w:b/>
          <w:bCs/>
          <w:kern w:val="0"/>
          <w:sz w:val="32"/>
          <w:szCs w:val="32"/>
        </w:rPr>
        <w:t>第四章</w:t>
      </w:r>
      <w:r>
        <w:rPr>
          <w:rFonts w:ascii="仿宋_GB2312" w:eastAsia="仿宋_GB2312" w:hAnsiTheme="majorEastAsia"/>
          <w:b/>
          <w:bCs/>
          <w:kern w:val="0"/>
          <w:sz w:val="32"/>
          <w:szCs w:val="32"/>
        </w:rPr>
        <w:t xml:space="preserve"> 调课流程</w:t>
      </w:r>
    </w:p>
    <w:p>
      <w:pPr>
        <w:spacing w:line="360" w:lineRule="auto"/>
        <w:ind w:firstLine="640" w:firstLineChars="200"/>
        <w:jc w:val="left"/>
        <w:rPr>
          <w:rFonts w:ascii="仿宋_GB2312" w:eastAsia="仿宋_GB2312" w:hAnsiTheme="majorEastAsia"/>
          <w:kern w:val="0"/>
          <w:sz w:val="32"/>
          <w:szCs w:val="32"/>
        </w:rPr>
      </w:pPr>
      <w:r>
        <w:rPr>
          <w:rFonts w:hint="eastAsia" w:ascii="仿宋_GB2312" w:eastAsia="仿宋_GB2312" w:hAnsiTheme="majorEastAsia"/>
          <w:kern w:val="0"/>
          <w:sz w:val="32"/>
          <w:szCs w:val="32"/>
        </w:rPr>
        <w:t>第五条  两周以上（含两周）的调课由排课单位书面提交申请报告（需附相关证明材料），由所在单位分管教学的负责人审批后向教务处报批。</w:t>
      </w:r>
    </w:p>
    <w:p>
      <w:pPr>
        <w:spacing w:line="360" w:lineRule="auto"/>
        <w:ind w:firstLine="640" w:firstLineChars="200"/>
        <w:jc w:val="left"/>
        <w:rPr>
          <w:rFonts w:ascii="仿宋_GB2312" w:eastAsia="仿宋_GB2312" w:hAnsiTheme="majorEastAsia"/>
          <w:kern w:val="0"/>
          <w:sz w:val="32"/>
          <w:szCs w:val="32"/>
        </w:rPr>
      </w:pPr>
      <w:r>
        <w:rPr>
          <w:rFonts w:hint="eastAsia" w:ascii="仿宋_GB2312" w:eastAsia="仿宋_GB2312" w:hAnsiTheme="majorEastAsia"/>
          <w:kern w:val="0"/>
          <w:sz w:val="32"/>
          <w:szCs w:val="32"/>
        </w:rPr>
        <w:t>第六条  两周以内的调课：</w:t>
      </w:r>
    </w:p>
    <w:p>
      <w:pPr>
        <w:spacing w:line="360" w:lineRule="auto"/>
        <w:ind w:firstLine="640" w:firstLineChars="200"/>
        <w:jc w:val="left"/>
        <w:rPr>
          <w:rFonts w:ascii="仿宋_GB2312" w:eastAsia="仿宋_GB2312" w:hAnsiTheme="majorEastAsia"/>
          <w:kern w:val="0"/>
          <w:sz w:val="32"/>
          <w:szCs w:val="32"/>
        </w:rPr>
      </w:pPr>
      <w:r>
        <w:rPr>
          <w:rFonts w:hint="eastAsia" w:ascii="仿宋_GB2312" w:eastAsia="仿宋_GB2312" w:hAnsiTheme="majorEastAsia"/>
          <w:kern w:val="0"/>
          <w:sz w:val="32"/>
          <w:szCs w:val="32"/>
        </w:rPr>
        <w:t>（一）</w:t>
      </w:r>
      <w:r>
        <w:rPr>
          <w:rFonts w:ascii="仿宋_GB2312" w:eastAsia="仿宋_GB2312" w:hAnsiTheme="majorEastAsia"/>
          <w:kern w:val="0"/>
          <w:sz w:val="32"/>
          <w:szCs w:val="32"/>
        </w:rPr>
        <w:t>授课教师填写《南昌大学调（代）课申请单》（以下简称“申请单”）并附相关证明材料送所在教研室（或所在系）负责人审批，再由所在教学单位分管教学的负责人审批；</w:t>
      </w:r>
    </w:p>
    <w:p>
      <w:pPr>
        <w:spacing w:line="360" w:lineRule="auto"/>
        <w:ind w:firstLine="640" w:firstLineChars="200"/>
        <w:rPr>
          <w:rFonts w:ascii="仿宋_GB2312" w:eastAsia="仿宋_GB2312" w:hAnsiTheme="majorEastAsia"/>
          <w:kern w:val="0"/>
          <w:sz w:val="32"/>
          <w:szCs w:val="32"/>
        </w:rPr>
      </w:pPr>
      <w:r>
        <w:rPr>
          <w:rFonts w:hint="eastAsia" w:ascii="仿宋_GB2312" w:eastAsia="仿宋_GB2312" w:hAnsiTheme="majorEastAsia"/>
          <w:kern w:val="0"/>
          <w:sz w:val="32"/>
          <w:szCs w:val="32"/>
        </w:rPr>
        <w:t>（二）所在教学单位审批后，授课教师需与</w:t>
      </w:r>
      <w:r>
        <w:rPr>
          <w:rFonts w:ascii="仿宋_GB2312" w:eastAsia="仿宋_GB2312" w:hAnsiTheme="majorEastAsia"/>
          <w:kern w:val="0"/>
          <w:sz w:val="32"/>
          <w:szCs w:val="32"/>
        </w:rPr>
        <w:t>学生宿舍与教室管理中心</w:t>
      </w:r>
      <w:r>
        <w:rPr>
          <w:rFonts w:hint="eastAsia" w:ascii="仿宋_GB2312" w:eastAsia="仿宋_GB2312" w:hAnsiTheme="majorEastAsia"/>
          <w:kern w:val="0"/>
          <w:sz w:val="32"/>
          <w:szCs w:val="32"/>
        </w:rPr>
        <w:t>（简称“宿教中心”）再次</w:t>
      </w:r>
      <w:r>
        <w:rPr>
          <w:rFonts w:ascii="仿宋_GB2312" w:eastAsia="仿宋_GB2312" w:hAnsiTheme="majorEastAsia"/>
          <w:kern w:val="0"/>
          <w:sz w:val="32"/>
          <w:szCs w:val="32"/>
        </w:rPr>
        <w:t>确</w:t>
      </w:r>
      <w:r>
        <w:rPr>
          <w:rFonts w:hint="eastAsia" w:ascii="仿宋_GB2312" w:eastAsia="仿宋_GB2312" w:hAnsiTheme="majorEastAsia"/>
          <w:kern w:val="0"/>
          <w:sz w:val="32"/>
          <w:szCs w:val="32"/>
        </w:rPr>
        <w:t>认</w:t>
      </w:r>
      <w:r>
        <w:rPr>
          <w:rFonts w:ascii="仿宋_GB2312" w:eastAsia="仿宋_GB2312" w:hAnsiTheme="majorEastAsia"/>
          <w:kern w:val="0"/>
          <w:sz w:val="32"/>
          <w:szCs w:val="32"/>
        </w:rPr>
        <w:t>上课地点</w:t>
      </w:r>
      <w:r>
        <w:rPr>
          <w:rFonts w:hint="eastAsia" w:ascii="仿宋_GB2312" w:eastAsia="仿宋_GB2312" w:hAnsiTheme="majorEastAsia"/>
          <w:kern w:val="0"/>
          <w:sz w:val="32"/>
          <w:szCs w:val="32"/>
        </w:rPr>
        <w:t>并</w:t>
      </w:r>
      <w:r>
        <w:rPr>
          <w:rFonts w:ascii="仿宋_GB2312" w:eastAsia="仿宋_GB2312" w:hAnsiTheme="majorEastAsia"/>
          <w:kern w:val="0"/>
          <w:sz w:val="32"/>
          <w:szCs w:val="32"/>
        </w:rPr>
        <w:t>报教务处审批</w:t>
      </w:r>
      <w:r>
        <w:rPr>
          <w:rFonts w:hint="eastAsia" w:ascii="仿宋_GB2312" w:eastAsia="仿宋_GB2312" w:hAnsiTheme="majorEastAsia"/>
          <w:kern w:val="0"/>
          <w:sz w:val="32"/>
          <w:szCs w:val="32"/>
        </w:rPr>
        <w:t>。</w:t>
      </w:r>
      <w:r>
        <w:rPr>
          <w:rFonts w:ascii="仿宋_GB2312" w:eastAsia="仿宋_GB2312" w:hAnsiTheme="majorEastAsia"/>
          <w:kern w:val="0"/>
          <w:sz w:val="32"/>
          <w:szCs w:val="32"/>
        </w:rPr>
        <w:t xml:space="preserve"> </w:t>
      </w:r>
    </w:p>
    <w:p>
      <w:pPr>
        <w:spacing w:line="360" w:lineRule="auto"/>
        <w:ind w:firstLine="640" w:firstLineChars="200"/>
        <w:jc w:val="left"/>
        <w:rPr>
          <w:rFonts w:ascii="仿宋_GB2312" w:eastAsia="仿宋_GB2312" w:hAnsiTheme="majorEastAsia"/>
          <w:kern w:val="0"/>
          <w:sz w:val="32"/>
          <w:szCs w:val="32"/>
        </w:rPr>
      </w:pPr>
      <w:r>
        <w:rPr>
          <w:rFonts w:hint="eastAsia" w:ascii="仿宋_GB2312" w:eastAsia="仿宋_GB2312" w:hAnsiTheme="majorEastAsia"/>
          <w:kern w:val="0"/>
          <w:sz w:val="32"/>
          <w:szCs w:val="32"/>
        </w:rPr>
        <w:t xml:space="preserve">第七条  </w:t>
      </w:r>
      <w:r>
        <w:rPr>
          <w:rFonts w:ascii="仿宋_GB2312" w:eastAsia="仿宋_GB2312" w:hAnsiTheme="majorEastAsia"/>
          <w:kern w:val="0"/>
          <w:sz w:val="32"/>
          <w:szCs w:val="32"/>
        </w:rPr>
        <w:t>授课教师应及时将调整后的上课周次</w:t>
      </w:r>
      <w:r>
        <w:rPr>
          <w:rFonts w:hint="eastAsia" w:ascii="仿宋_GB2312" w:eastAsia="仿宋_GB2312" w:hAnsiTheme="majorEastAsia"/>
          <w:kern w:val="0"/>
          <w:sz w:val="32"/>
          <w:szCs w:val="32"/>
        </w:rPr>
        <w:t>、</w:t>
      </w:r>
      <w:r>
        <w:rPr>
          <w:rFonts w:ascii="仿宋_GB2312" w:eastAsia="仿宋_GB2312" w:hAnsiTheme="majorEastAsia"/>
          <w:kern w:val="0"/>
          <w:sz w:val="32"/>
          <w:szCs w:val="32"/>
        </w:rPr>
        <w:t>上课时间、上课地点等信息通知到上课班级学生。</w:t>
      </w:r>
    </w:p>
    <w:p>
      <w:pPr>
        <w:spacing w:line="360" w:lineRule="auto"/>
        <w:jc w:val="center"/>
        <w:rPr>
          <w:rFonts w:ascii="仿宋_GB2312" w:eastAsia="仿宋_GB2312" w:hAnsiTheme="majorEastAsia"/>
          <w:b/>
          <w:bCs/>
          <w:kern w:val="0"/>
          <w:sz w:val="32"/>
          <w:szCs w:val="32"/>
        </w:rPr>
      </w:pPr>
      <w:r>
        <w:rPr>
          <w:rFonts w:hint="eastAsia" w:ascii="仿宋_GB2312" w:eastAsia="仿宋_GB2312" w:hAnsiTheme="majorEastAsia"/>
          <w:b/>
          <w:bCs/>
          <w:kern w:val="0"/>
          <w:sz w:val="32"/>
          <w:szCs w:val="32"/>
        </w:rPr>
        <w:t>第五章</w:t>
      </w:r>
      <w:r>
        <w:rPr>
          <w:rFonts w:ascii="仿宋_GB2312" w:eastAsia="仿宋_GB2312" w:hAnsiTheme="majorEastAsia"/>
          <w:b/>
          <w:bCs/>
          <w:kern w:val="0"/>
          <w:sz w:val="32"/>
          <w:szCs w:val="32"/>
        </w:rPr>
        <w:t xml:space="preserve"> 代课流程</w:t>
      </w:r>
    </w:p>
    <w:p>
      <w:pPr>
        <w:spacing w:line="360" w:lineRule="auto"/>
        <w:ind w:firstLine="640" w:firstLineChars="200"/>
        <w:jc w:val="left"/>
        <w:rPr>
          <w:rFonts w:ascii="仿宋_GB2312" w:eastAsia="仿宋_GB2312" w:hAnsiTheme="majorEastAsia"/>
          <w:kern w:val="0"/>
          <w:sz w:val="32"/>
          <w:szCs w:val="32"/>
        </w:rPr>
      </w:pPr>
      <w:r>
        <w:rPr>
          <w:rFonts w:hint="eastAsia" w:ascii="仿宋_GB2312" w:eastAsia="仿宋_GB2312" w:hAnsiTheme="majorEastAsia"/>
          <w:kern w:val="0"/>
          <w:sz w:val="32"/>
          <w:szCs w:val="32"/>
        </w:rPr>
        <w:t>第八条  两周以上（含两周）的代课由排课单位提交申请报告，向教务处报批。</w:t>
      </w:r>
    </w:p>
    <w:p>
      <w:pPr>
        <w:spacing w:line="360" w:lineRule="auto"/>
        <w:ind w:firstLine="640" w:firstLineChars="200"/>
        <w:jc w:val="left"/>
        <w:rPr>
          <w:rFonts w:hint="eastAsia" w:ascii="仿宋_GB2312" w:eastAsia="仿宋_GB2312" w:hAnsiTheme="majorEastAsia"/>
          <w:kern w:val="0"/>
          <w:sz w:val="32"/>
          <w:szCs w:val="32"/>
          <w:lang w:val="en-US" w:eastAsia="zh-CN"/>
        </w:rPr>
      </w:pPr>
      <w:r>
        <w:rPr>
          <w:rFonts w:hint="eastAsia" w:ascii="仿宋_GB2312" w:eastAsia="仿宋_GB2312" w:hAnsiTheme="majorEastAsia"/>
          <w:kern w:val="0"/>
          <w:sz w:val="32"/>
          <w:szCs w:val="32"/>
        </w:rPr>
        <w:t>第九条  两周以内的代课：</w:t>
      </w:r>
      <w:r>
        <w:rPr>
          <w:rFonts w:ascii="仿宋_GB2312" w:eastAsia="仿宋_GB2312" w:hAnsiTheme="majorEastAsia"/>
          <w:kern w:val="0"/>
          <w:sz w:val="32"/>
          <w:szCs w:val="32"/>
        </w:rPr>
        <w:t>授课教师填写《南昌大学调（代）课申请单》并附相关证明材料送所在教研室（或所在系）负责人审批</w:t>
      </w:r>
      <w:r>
        <w:rPr>
          <w:rFonts w:hint="eastAsia" w:ascii="仿宋_GB2312" w:eastAsia="仿宋_GB2312" w:hAnsiTheme="majorEastAsia"/>
          <w:kern w:val="0"/>
          <w:sz w:val="32"/>
          <w:szCs w:val="32"/>
        </w:rPr>
        <w:t>，</w:t>
      </w:r>
      <w:r>
        <w:rPr>
          <w:rFonts w:ascii="仿宋_GB2312" w:eastAsia="仿宋_GB2312" w:hAnsiTheme="majorEastAsia"/>
          <w:kern w:val="0"/>
          <w:sz w:val="32"/>
          <w:szCs w:val="32"/>
        </w:rPr>
        <w:t>再由所在教学单位分管教学的负责人审</w:t>
      </w:r>
      <w:r>
        <w:rPr>
          <w:rFonts w:hint="eastAsia" w:ascii="仿宋_GB2312" w:eastAsia="仿宋_GB2312" w:hAnsiTheme="majorEastAsia"/>
          <w:kern w:val="0"/>
          <w:sz w:val="32"/>
          <w:szCs w:val="32"/>
        </w:rPr>
        <w:t>批</w:t>
      </w:r>
      <w:r>
        <w:rPr>
          <w:rFonts w:ascii="仿宋_GB2312" w:eastAsia="仿宋_GB2312" w:hAnsiTheme="majorEastAsia"/>
          <w:kern w:val="0"/>
          <w:sz w:val="32"/>
          <w:szCs w:val="32"/>
        </w:rPr>
        <w:t>后报教务处审批</w:t>
      </w:r>
      <w:r>
        <w:rPr>
          <w:rFonts w:hint="eastAsia" w:ascii="仿宋_GB2312" w:eastAsia="仿宋_GB2312" w:hAnsiTheme="majorEastAsia"/>
          <w:kern w:val="0"/>
          <w:sz w:val="32"/>
          <w:szCs w:val="32"/>
          <w:lang w:eastAsia="zh-CN"/>
        </w:rPr>
        <w:t>。</w:t>
      </w:r>
    </w:p>
    <w:p>
      <w:pPr>
        <w:spacing w:line="360" w:lineRule="auto"/>
        <w:ind w:firstLine="640" w:firstLineChars="200"/>
        <w:jc w:val="left"/>
        <w:rPr>
          <w:rFonts w:ascii="仿宋_GB2312" w:eastAsia="仿宋_GB2312" w:hAnsiTheme="majorEastAsia"/>
          <w:kern w:val="0"/>
          <w:sz w:val="32"/>
          <w:szCs w:val="32"/>
        </w:rPr>
      </w:pPr>
      <w:r>
        <w:rPr>
          <w:rFonts w:hint="eastAsia" w:ascii="仿宋_GB2312" w:eastAsia="仿宋_GB2312" w:hAnsiTheme="majorEastAsia"/>
          <w:kern w:val="0"/>
          <w:sz w:val="32"/>
          <w:szCs w:val="32"/>
        </w:rPr>
        <w:t xml:space="preserve">第十条  </w:t>
      </w:r>
      <w:r>
        <w:rPr>
          <w:rFonts w:ascii="仿宋_GB2312" w:eastAsia="仿宋_GB2312" w:hAnsiTheme="majorEastAsia"/>
          <w:kern w:val="0"/>
          <w:sz w:val="32"/>
          <w:szCs w:val="32"/>
        </w:rPr>
        <w:t>授课教师应及时将调整后的代课教师信息通知到上课班级学生。</w:t>
      </w:r>
    </w:p>
    <w:p>
      <w:pPr>
        <w:spacing w:line="360" w:lineRule="auto"/>
        <w:jc w:val="center"/>
        <w:rPr>
          <w:rFonts w:ascii="仿宋_GB2312" w:eastAsia="仿宋_GB2312" w:hAnsiTheme="majorEastAsia"/>
          <w:b/>
          <w:bCs/>
          <w:kern w:val="0"/>
          <w:sz w:val="32"/>
          <w:szCs w:val="32"/>
        </w:rPr>
      </w:pPr>
      <w:r>
        <w:rPr>
          <w:rFonts w:hint="eastAsia" w:ascii="仿宋_GB2312" w:eastAsia="仿宋_GB2312" w:hAnsiTheme="majorEastAsia"/>
          <w:b/>
          <w:bCs/>
          <w:kern w:val="0"/>
          <w:sz w:val="32"/>
          <w:szCs w:val="32"/>
        </w:rPr>
        <w:t xml:space="preserve">第六章  </w:t>
      </w:r>
      <w:r>
        <w:rPr>
          <w:rFonts w:ascii="仿宋_GB2312" w:eastAsia="仿宋_GB2312" w:hAnsiTheme="majorEastAsia"/>
          <w:b/>
          <w:bCs/>
          <w:kern w:val="0"/>
          <w:sz w:val="32"/>
          <w:szCs w:val="32"/>
        </w:rPr>
        <w:t>不允许调（代）课情况</w:t>
      </w:r>
    </w:p>
    <w:p>
      <w:pPr>
        <w:spacing w:line="360" w:lineRule="auto"/>
        <w:ind w:firstLine="640" w:firstLineChars="200"/>
        <w:jc w:val="left"/>
        <w:rPr>
          <w:rFonts w:ascii="仿宋_GB2312" w:eastAsia="仿宋_GB2312" w:hAnsiTheme="majorEastAsia"/>
          <w:kern w:val="0"/>
          <w:sz w:val="32"/>
          <w:szCs w:val="32"/>
        </w:rPr>
      </w:pPr>
      <w:r>
        <w:rPr>
          <w:rFonts w:hint="eastAsia" w:ascii="仿宋_GB2312" w:eastAsia="仿宋_GB2312" w:hAnsiTheme="majorEastAsia"/>
          <w:kern w:val="0"/>
          <w:sz w:val="32"/>
          <w:szCs w:val="32"/>
        </w:rPr>
        <w:t xml:space="preserve">第十一条  </w:t>
      </w:r>
      <w:r>
        <w:rPr>
          <w:rFonts w:ascii="仿宋_GB2312" w:eastAsia="仿宋_GB2312" w:hAnsiTheme="majorEastAsia"/>
          <w:kern w:val="0"/>
          <w:sz w:val="32"/>
          <w:szCs w:val="32"/>
        </w:rPr>
        <w:t>开学第一周的课程。</w:t>
      </w:r>
    </w:p>
    <w:p>
      <w:pPr>
        <w:spacing w:line="360" w:lineRule="auto"/>
        <w:ind w:firstLine="640" w:firstLineChars="200"/>
        <w:jc w:val="left"/>
        <w:rPr>
          <w:rFonts w:ascii="仿宋_GB2312" w:eastAsia="仿宋_GB2312" w:hAnsiTheme="majorEastAsia"/>
          <w:kern w:val="0"/>
          <w:sz w:val="32"/>
          <w:szCs w:val="32"/>
        </w:rPr>
      </w:pPr>
      <w:r>
        <w:rPr>
          <w:rFonts w:hint="eastAsia" w:ascii="仿宋_GB2312" w:eastAsia="仿宋_GB2312" w:hAnsiTheme="majorEastAsia"/>
          <w:kern w:val="0"/>
          <w:sz w:val="32"/>
          <w:szCs w:val="32"/>
        </w:rPr>
        <w:t xml:space="preserve">第十二条  </w:t>
      </w:r>
      <w:r>
        <w:rPr>
          <w:rFonts w:ascii="仿宋_GB2312" w:eastAsia="仿宋_GB2312" w:hAnsiTheme="majorEastAsia"/>
          <w:kern w:val="0"/>
          <w:sz w:val="32"/>
          <w:szCs w:val="32"/>
        </w:rPr>
        <w:t>教师申请的调课时间与学生其他课程安排冲突的。</w:t>
      </w:r>
    </w:p>
    <w:p>
      <w:pPr>
        <w:spacing w:line="360" w:lineRule="auto"/>
        <w:ind w:firstLine="640" w:firstLineChars="200"/>
        <w:jc w:val="left"/>
        <w:rPr>
          <w:rFonts w:ascii="仿宋_GB2312" w:eastAsia="仿宋_GB2312" w:hAnsiTheme="majorEastAsia"/>
          <w:kern w:val="0"/>
          <w:sz w:val="32"/>
          <w:szCs w:val="32"/>
        </w:rPr>
      </w:pPr>
      <w:r>
        <w:rPr>
          <w:rFonts w:hint="eastAsia" w:ascii="仿宋_GB2312" w:eastAsia="仿宋_GB2312" w:hAnsiTheme="majorEastAsia"/>
          <w:kern w:val="0"/>
          <w:sz w:val="32"/>
          <w:szCs w:val="32"/>
        </w:rPr>
        <w:t xml:space="preserve">第十三条  </w:t>
      </w:r>
      <w:r>
        <w:rPr>
          <w:rFonts w:ascii="仿宋_GB2312" w:eastAsia="仿宋_GB2312" w:hAnsiTheme="majorEastAsia"/>
          <w:kern w:val="0"/>
          <w:sz w:val="32"/>
          <w:szCs w:val="32"/>
        </w:rPr>
        <w:t>通识教育课程、个性选修课程、创新创业教育课程等公共选修课程原则上只能办理代课。</w:t>
      </w:r>
    </w:p>
    <w:p>
      <w:pPr>
        <w:spacing w:line="360" w:lineRule="auto"/>
        <w:jc w:val="center"/>
        <w:rPr>
          <w:rFonts w:ascii="仿宋_GB2312" w:eastAsia="仿宋_GB2312" w:hAnsiTheme="majorEastAsia"/>
          <w:b/>
          <w:bCs/>
          <w:kern w:val="0"/>
          <w:sz w:val="32"/>
          <w:szCs w:val="32"/>
        </w:rPr>
      </w:pPr>
      <w:r>
        <w:rPr>
          <w:rFonts w:hint="eastAsia" w:ascii="仿宋_GB2312" w:eastAsia="仿宋_GB2312" w:hAnsiTheme="majorEastAsia"/>
          <w:b/>
          <w:bCs/>
          <w:kern w:val="0"/>
          <w:sz w:val="32"/>
          <w:szCs w:val="32"/>
        </w:rPr>
        <w:t>第七章</w:t>
      </w:r>
      <w:r>
        <w:rPr>
          <w:rFonts w:ascii="仿宋_GB2312" w:eastAsia="仿宋_GB2312" w:hAnsiTheme="majorEastAsia"/>
          <w:b/>
          <w:bCs/>
          <w:kern w:val="0"/>
          <w:sz w:val="32"/>
          <w:szCs w:val="32"/>
        </w:rPr>
        <w:t xml:space="preserve"> 紧急情况</w:t>
      </w:r>
    </w:p>
    <w:p>
      <w:pPr>
        <w:spacing w:line="360" w:lineRule="auto"/>
        <w:ind w:firstLine="640" w:firstLineChars="200"/>
        <w:jc w:val="left"/>
        <w:rPr>
          <w:rFonts w:ascii="仿宋_GB2312" w:eastAsia="仿宋_GB2312" w:hAnsiTheme="majorEastAsia"/>
          <w:kern w:val="0"/>
          <w:sz w:val="32"/>
          <w:szCs w:val="32"/>
        </w:rPr>
      </w:pPr>
      <w:r>
        <w:rPr>
          <w:rFonts w:hint="eastAsia" w:ascii="仿宋_GB2312" w:eastAsia="仿宋_GB2312" w:hAnsiTheme="majorEastAsia"/>
          <w:kern w:val="0"/>
          <w:sz w:val="32"/>
          <w:szCs w:val="32"/>
        </w:rPr>
        <w:t>第十四条  原则上除特别紧急情况外，授课教师本人办理调（代）课手续均应在上课前三天内（含三天）办妥。出现特别紧急的情况，授课教师本人因故不能填写或送交《申请单》的，可以由教师所在单位的教务管理办公室代为填写，履行相关审批手续。</w:t>
      </w:r>
    </w:p>
    <w:p>
      <w:pPr>
        <w:spacing w:line="360" w:lineRule="auto"/>
        <w:ind w:firstLine="640" w:firstLineChars="200"/>
        <w:jc w:val="left"/>
        <w:rPr>
          <w:rFonts w:ascii="仿宋_GB2312" w:eastAsia="仿宋_GB2312" w:hAnsiTheme="majorEastAsia"/>
          <w:kern w:val="0"/>
          <w:sz w:val="32"/>
          <w:szCs w:val="32"/>
        </w:rPr>
      </w:pPr>
      <w:r>
        <w:rPr>
          <w:rFonts w:hint="eastAsia" w:ascii="仿宋_GB2312" w:eastAsia="仿宋_GB2312" w:hAnsiTheme="majorEastAsia"/>
          <w:kern w:val="0"/>
          <w:sz w:val="32"/>
          <w:szCs w:val="32"/>
        </w:rPr>
        <w:t xml:space="preserve">第十五条  </w:t>
      </w:r>
      <w:r>
        <w:rPr>
          <w:rFonts w:ascii="仿宋_GB2312" w:eastAsia="仿宋_GB2312" w:hAnsiTheme="majorEastAsia"/>
          <w:kern w:val="0"/>
          <w:sz w:val="32"/>
          <w:szCs w:val="32"/>
        </w:rPr>
        <w:t>授课教师因突发性事件无法上课且无人代课，应当由教师所在单位及时将情况告知教务处，并及时通知所带班级学生临时停课。同时，教师应及时补办调课审批手续。</w:t>
      </w:r>
    </w:p>
    <w:p>
      <w:pPr>
        <w:spacing w:line="360" w:lineRule="auto"/>
        <w:jc w:val="center"/>
        <w:rPr>
          <w:rFonts w:ascii="仿宋_GB2312" w:eastAsia="仿宋_GB2312" w:hAnsiTheme="majorEastAsia"/>
          <w:b/>
          <w:bCs/>
          <w:kern w:val="0"/>
          <w:sz w:val="32"/>
          <w:szCs w:val="32"/>
        </w:rPr>
      </w:pPr>
      <w:r>
        <w:rPr>
          <w:rFonts w:hint="eastAsia" w:ascii="仿宋_GB2312" w:eastAsia="仿宋_GB2312" w:hAnsiTheme="majorEastAsia"/>
          <w:b/>
          <w:bCs/>
          <w:kern w:val="0"/>
          <w:sz w:val="32"/>
          <w:szCs w:val="32"/>
        </w:rPr>
        <w:t>第八章</w:t>
      </w:r>
      <w:r>
        <w:rPr>
          <w:rFonts w:ascii="仿宋_GB2312" w:eastAsia="仿宋_GB2312" w:hAnsiTheme="majorEastAsia"/>
          <w:b/>
          <w:bCs/>
          <w:kern w:val="0"/>
          <w:sz w:val="32"/>
          <w:szCs w:val="32"/>
        </w:rPr>
        <w:t xml:space="preserve"> 其他情况</w:t>
      </w:r>
    </w:p>
    <w:p>
      <w:pPr>
        <w:spacing w:line="360" w:lineRule="auto"/>
        <w:ind w:firstLine="640" w:firstLineChars="200"/>
        <w:jc w:val="left"/>
        <w:rPr>
          <w:rFonts w:ascii="仿宋_GB2312" w:eastAsia="仿宋_GB2312" w:hAnsiTheme="majorEastAsia"/>
          <w:kern w:val="0"/>
          <w:sz w:val="32"/>
          <w:szCs w:val="32"/>
        </w:rPr>
      </w:pPr>
      <w:r>
        <w:rPr>
          <w:rFonts w:hint="eastAsia" w:ascii="仿宋_GB2312" w:eastAsia="仿宋_GB2312" w:hAnsiTheme="majorEastAsia"/>
          <w:kern w:val="0"/>
          <w:sz w:val="32"/>
          <w:szCs w:val="32"/>
        </w:rPr>
        <w:t>第十六条  国家法定节假日、学校统一安排的活动或其他不可抗力而引起的调课，按学校发布的文件或通知执行。</w:t>
      </w:r>
    </w:p>
    <w:p>
      <w:pPr>
        <w:spacing w:line="360" w:lineRule="auto"/>
        <w:ind w:firstLine="640" w:firstLineChars="200"/>
        <w:jc w:val="left"/>
        <w:rPr>
          <w:rFonts w:ascii="仿宋_GB2312" w:eastAsia="仿宋_GB2312" w:hAnsiTheme="majorEastAsia"/>
          <w:kern w:val="0"/>
          <w:sz w:val="32"/>
          <w:szCs w:val="32"/>
        </w:rPr>
      </w:pPr>
      <w:r>
        <w:rPr>
          <w:rFonts w:hint="eastAsia" w:ascii="仿宋_GB2312" w:eastAsia="仿宋_GB2312" w:hAnsiTheme="majorEastAsia"/>
          <w:kern w:val="0"/>
          <w:sz w:val="32"/>
          <w:szCs w:val="32"/>
        </w:rPr>
        <w:t>第十七条  学校相关部门工作原因要求调（代）课的，需提供相关部门的证明。</w:t>
      </w:r>
    </w:p>
    <w:p>
      <w:pPr>
        <w:spacing w:line="360" w:lineRule="auto"/>
        <w:jc w:val="center"/>
        <w:rPr>
          <w:rFonts w:ascii="仿宋_GB2312" w:eastAsia="仿宋_GB2312" w:hAnsiTheme="majorEastAsia"/>
          <w:b/>
          <w:bCs/>
          <w:kern w:val="0"/>
          <w:sz w:val="32"/>
          <w:szCs w:val="32"/>
        </w:rPr>
      </w:pPr>
      <w:r>
        <w:rPr>
          <w:rFonts w:ascii="仿宋_GB2312" w:eastAsia="仿宋_GB2312" w:hAnsiTheme="majorEastAsia"/>
          <w:b/>
          <w:bCs/>
          <w:kern w:val="0"/>
          <w:sz w:val="32"/>
          <w:szCs w:val="32"/>
        </w:rPr>
        <w:t>第</w:t>
      </w:r>
      <w:r>
        <w:rPr>
          <w:rFonts w:hint="eastAsia" w:ascii="仿宋_GB2312" w:eastAsia="仿宋_GB2312" w:hAnsiTheme="majorEastAsia"/>
          <w:b/>
          <w:bCs/>
          <w:kern w:val="0"/>
          <w:sz w:val="32"/>
          <w:szCs w:val="32"/>
        </w:rPr>
        <w:t>九章</w:t>
      </w:r>
      <w:r>
        <w:rPr>
          <w:rFonts w:ascii="仿宋_GB2312" w:eastAsia="仿宋_GB2312" w:hAnsiTheme="majorEastAsia"/>
          <w:b/>
          <w:bCs/>
          <w:kern w:val="0"/>
          <w:sz w:val="32"/>
          <w:szCs w:val="32"/>
        </w:rPr>
        <w:t xml:space="preserve">  附 则</w:t>
      </w:r>
    </w:p>
    <w:p>
      <w:pPr>
        <w:spacing w:line="360" w:lineRule="auto"/>
        <w:ind w:firstLine="640" w:firstLineChars="200"/>
        <w:jc w:val="left"/>
        <w:rPr>
          <w:rFonts w:ascii="仿宋_GB2312" w:eastAsia="仿宋_GB2312" w:hAnsiTheme="majorEastAsia"/>
          <w:kern w:val="0"/>
          <w:sz w:val="32"/>
          <w:szCs w:val="32"/>
        </w:rPr>
      </w:pPr>
      <w:r>
        <w:rPr>
          <w:rFonts w:hint="eastAsia" w:ascii="仿宋_GB2312" w:eastAsia="仿宋_GB2312" w:hAnsiTheme="majorEastAsia"/>
          <w:kern w:val="0"/>
          <w:sz w:val="32"/>
          <w:szCs w:val="32"/>
        </w:rPr>
        <w:t>第十八条  各学院调（代）课情况作为学院本科教学工作状态基本数据，纳入年度学院本科教学工作状态考核。</w:t>
      </w:r>
    </w:p>
    <w:p>
      <w:pPr>
        <w:spacing w:line="360" w:lineRule="auto"/>
        <w:ind w:firstLine="640" w:firstLineChars="200"/>
        <w:jc w:val="left"/>
        <w:rPr>
          <w:rFonts w:ascii="仿宋_GB2312" w:eastAsia="仿宋_GB2312" w:hAnsiTheme="majorEastAsia"/>
          <w:kern w:val="0"/>
          <w:sz w:val="32"/>
          <w:szCs w:val="32"/>
        </w:rPr>
      </w:pPr>
      <w:r>
        <w:rPr>
          <w:rFonts w:hint="eastAsia" w:ascii="仿宋_GB2312" w:eastAsia="仿宋_GB2312" w:hAnsiTheme="majorEastAsia"/>
          <w:kern w:val="0"/>
          <w:sz w:val="32"/>
          <w:szCs w:val="32"/>
        </w:rPr>
        <w:t xml:space="preserve">第十九条  </w:t>
      </w:r>
      <w:r>
        <w:rPr>
          <w:rFonts w:ascii="仿宋_GB2312" w:eastAsia="仿宋_GB2312" w:hAnsiTheme="majorEastAsia"/>
          <w:kern w:val="0"/>
          <w:sz w:val="32"/>
          <w:szCs w:val="32"/>
        </w:rPr>
        <w:t>因违反调（代）课规定导致影响正常教学秩序者，根据情节按学校教学差错与事故处理办法处理。</w:t>
      </w:r>
    </w:p>
    <w:p>
      <w:pPr>
        <w:spacing w:line="360" w:lineRule="auto"/>
        <w:ind w:firstLine="640" w:firstLineChars="200"/>
        <w:jc w:val="left"/>
        <w:rPr>
          <w:rFonts w:ascii="仿宋_GB2312" w:eastAsia="仿宋_GB2312" w:hAnsiTheme="majorEastAsia"/>
          <w:kern w:val="0"/>
          <w:sz w:val="32"/>
          <w:szCs w:val="32"/>
        </w:rPr>
      </w:pPr>
      <w:r>
        <w:rPr>
          <w:rFonts w:hint="eastAsia" w:ascii="仿宋_GB2312" w:eastAsia="仿宋_GB2312" w:hAnsiTheme="majorEastAsia"/>
          <w:kern w:val="0"/>
          <w:sz w:val="32"/>
          <w:szCs w:val="32"/>
        </w:rPr>
        <w:t xml:space="preserve">第二十条  </w:t>
      </w:r>
      <w:r>
        <w:rPr>
          <w:rFonts w:ascii="仿宋_GB2312" w:eastAsia="仿宋_GB2312" w:hAnsiTheme="majorEastAsia"/>
          <w:kern w:val="0"/>
          <w:sz w:val="32"/>
          <w:szCs w:val="32"/>
        </w:rPr>
        <w:t>本办法自发布之日起实施，原相关办法同时废止。</w:t>
      </w:r>
    </w:p>
    <w:p>
      <w:pPr>
        <w:spacing w:line="360" w:lineRule="auto"/>
        <w:ind w:firstLine="640" w:firstLineChars="200"/>
        <w:jc w:val="left"/>
        <w:rPr>
          <w:rFonts w:ascii="仿宋_GB2312" w:eastAsia="仿宋_GB2312" w:hAnsiTheme="majorEastAsia"/>
          <w:kern w:val="0"/>
          <w:sz w:val="32"/>
          <w:szCs w:val="32"/>
        </w:rPr>
      </w:pPr>
      <w:r>
        <w:rPr>
          <w:rFonts w:hint="eastAsia" w:ascii="仿宋_GB2312" w:eastAsia="仿宋_GB2312" w:hAnsiTheme="majorEastAsia"/>
          <w:kern w:val="0"/>
          <w:sz w:val="32"/>
          <w:szCs w:val="32"/>
        </w:rPr>
        <w:t xml:space="preserve">第二十一条  </w:t>
      </w:r>
      <w:r>
        <w:rPr>
          <w:rFonts w:ascii="仿宋_GB2312" w:eastAsia="仿宋_GB2312" w:hAnsiTheme="majorEastAsia"/>
          <w:kern w:val="0"/>
          <w:sz w:val="32"/>
          <w:szCs w:val="32"/>
        </w:rPr>
        <w:t>本办法由教务处负责解释。</w:t>
      </w:r>
    </w:p>
    <w:p>
      <w:pPr>
        <w:spacing w:line="360" w:lineRule="auto"/>
        <w:ind w:firstLine="640" w:firstLineChars="200"/>
        <w:jc w:val="left"/>
        <w:rPr>
          <w:rFonts w:ascii="仿宋_GB2312" w:eastAsia="仿宋_GB2312" w:hAnsiTheme="majorEastAsia"/>
          <w:kern w:val="0"/>
          <w:sz w:val="32"/>
          <w:szCs w:val="32"/>
        </w:rPr>
      </w:pPr>
    </w:p>
    <w:p>
      <w:pPr>
        <w:spacing w:line="360" w:lineRule="auto"/>
        <w:ind w:firstLine="640" w:firstLineChars="200"/>
        <w:jc w:val="left"/>
        <w:rPr>
          <w:rFonts w:ascii="仿宋_GB2312" w:eastAsia="仿宋_GB2312" w:hAnsiTheme="majorEastAsia"/>
          <w:kern w:val="0"/>
          <w:sz w:val="32"/>
          <w:szCs w:val="32"/>
        </w:rPr>
      </w:pPr>
      <w:r>
        <w:rPr>
          <w:rFonts w:hint="eastAsia" w:ascii="仿宋_GB2312" w:eastAsia="仿宋_GB2312" w:hAnsiTheme="majorEastAsia"/>
          <w:kern w:val="0"/>
          <w:sz w:val="32"/>
          <w:szCs w:val="32"/>
        </w:rPr>
        <w:t xml:space="preserve"> </w:t>
      </w:r>
    </w:p>
    <w:p>
      <w:pPr>
        <w:spacing w:line="360" w:lineRule="auto"/>
        <w:ind w:firstLine="6720" w:firstLineChars="2100"/>
        <w:jc w:val="left"/>
        <w:rPr>
          <w:rFonts w:ascii="仿宋_GB2312" w:eastAsia="仿宋_GB2312" w:hAnsiTheme="majorEastAsia"/>
          <w:kern w:val="0"/>
          <w:sz w:val="32"/>
          <w:szCs w:val="32"/>
        </w:rPr>
      </w:pPr>
      <w:bookmarkStart w:id="0" w:name="_GoBack"/>
      <w:r>
        <w:rPr>
          <w:rFonts w:hint="eastAsia" w:ascii="仿宋_GB2312" w:eastAsia="仿宋_GB2312" w:hAnsiTheme="majorEastAsia"/>
          <w:kern w:val="0"/>
          <w:sz w:val="32"/>
          <w:szCs w:val="32"/>
        </w:rPr>
        <w:t>教务处</w:t>
      </w:r>
    </w:p>
    <w:p>
      <w:pPr>
        <w:spacing w:line="360" w:lineRule="auto"/>
        <w:ind w:firstLine="5760" w:firstLineChars="1800"/>
        <w:jc w:val="left"/>
        <w:rPr>
          <w:rFonts w:hint="eastAsia" w:ascii="仿宋_GB2312" w:eastAsia="仿宋_GB2312" w:hAnsiTheme="majorEastAsia"/>
          <w:kern w:val="0"/>
          <w:sz w:val="32"/>
          <w:szCs w:val="32"/>
        </w:rPr>
      </w:pPr>
      <w:r>
        <w:rPr>
          <w:rFonts w:hint="eastAsia" w:ascii="仿宋_GB2312" w:eastAsia="仿宋_GB2312" w:hAnsiTheme="majorEastAsia"/>
          <w:kern w:val="0"/>
          <w:sz w:val="32"/>
          <w:szCs w:val="32"/>
        </w:rPr>
        <w:t>2023年1月11日</w:t>
      </w:r>
    </w:p>
    <w:bookmarkEnd w:id="0"/>
    <w:p>
      <w:pPr>
        <w:adjustRightInd w:val="0"/>
        <w:snapToGrid w:val="0"/>
        <w:spacing w:line="324" w:lineRule="auto"/>
        <w:rPr>
          <w:rFonts w:ascii="仿宋_GB2312" w:hAnsi="宋体" w:eastAsia="仿宋_GB2312" w:cs="宋体"/>
          <w:kern w:val="0"/>
          <w:sz w:val="18"/>
          <w:szCs w:val="18"/>
        </w:rPr>
      </w:pPr>
    </w:p>
    <w:tbl>
      <w:tblPr>
        <w:tblStyle w:val="4"/>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4" w:type="dxa"/>
          <w:bottom w:w="0" w:type="dxa"/>
          <w:right w:w="284" w:type="dxa"/>
        </w:tblCellMar>
      </w:tblPr>
      <w:tblGrid>
        <w:gridCol w:w="4436"/>
        <w:gridCol w:w="443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284" w:type="dxa"/>
            <w:bottom w:w="0" w:type="dxa"/>
            <w:right w:w="284" w:type="dxa"/>
          </w:tblCellMar>
        </w:tblPrEx>
        <w:trPr>
          <w:jc w:val="center"/>
        </w:trPr>
        <w:tc>
          <w:tcPr>
            <w:tcW w:w="4436" w:type="dxa"/>
            <w:tcBorders>
              <w:top w:val="single" w:color="auto" w:sz="12" w:space="0"/>
              <w:left w:val="nil"/>
              <w:bottom w:val="single" w:color="auto" w:sz="12" w:space="0"/>
              <w:right w:val="nil"/>
            </w:tcBorders>
          </w:tcPr>
          <w:p>
            <w:pPr>
              <w:jc w:val="left"/>
              <w:rPr>
                <w:rFonts w:ascii="仿宋_GB2312" w:eastAsia="仿宋_GB2312"/>
                <w:sz w:val="32"/>
                <w:szCs w:val="32"/>
                <w:lang w:val="zh-CN"/>
              </w:rPr>
            </w:pPr>
            <w:r>
              <w:rPr>
                <w:rFonts w:hint="eastAsia" w:ascii="仿宋_GB2312" w:eastAsia="仿宋_GB2312"/>
                <w:sz w:val="32"/>
                <w:szCs w:val="32"/>
                <w:lang w:val="zh-CN"/>
              </w:rPr>
              <w:t>南昌大学教务处</w:t>
            </w:r>
          </w:p>
        </w:tc>
        <w:tc>
          <w:tcPr>
            <w:tcW w:w="4436" w:type="dxa"/>
            <w:tcBorders>
              <w:top w:val="single" w:color="auto" w:sz="12" w:space="0"/>
              <w:left w:val="nil"/>
              <w:bottom w:val="single" w:color="auto" w:sz="12" w:space="0"/>
              <w:right w:val="nil"/>
            </w:tcBorders>
          </w:tcPr>
          <w:p>
            <w:pPr>
              <w:wordWrap w:val="0"/>
              <w:ind w:right="140"/>
              <w:jc w:val="right"/>
              <w:rPr>
                <w:rFonts w:ascii="仿宋_GB2312" w:eastAsia="仿宋_GB2312"/>
                <w:sz w:val="32"/>
                <w:szCs w:val="32"/>
                <w:lang w:val="zh-CN"/>
              </w:rPr>
            </w:pPr>
            <w:r>
              <w:rPr>
                <w:rFonts w:hint="eastAsia" w:ascii="仿宋_GB2312" w:eastAsia="仿宋_GB2312"/>
                <w:sz w:val="32"/>
                <w:szCs w:val="32"/>
                <w:lang w:val="zh-CN"/>
              </w:rPr>
              <w:t>202</w:t>
            </w:r>
            <w:r>
              <w:rPr>
                <w:rFonts w:hint="eastAsia" w:ascii="仿宋_GB2312" w:eastAsia="仿宋_GB2312"/>
                <w:sz w:val="32"/>
                <w:szCs w:val="32"/>
              </w:rPr>
              <w:t>3</w:t>
            </w:r>
            <w:r>
              <w:rPr>
                <w:rFonts w:hint="eastAsia" w:ascii="仿宋_GB2312" w:eastAsia="仿宋_GB2312"/>
                <w:sz w:val="32"/>
                <w:szCs w:val="32"/>
                <w:lang w:val="zh-CN"/>
              </w:rPr>
              <w:t>年1月</w:t>
            </w:r>
            <w:r>
              <w:rPr>
                <w:rFonts w:hint="eastAsia" w:ascii="仿宋_GB2312" w:eastAsia="仿宋_GB2312"/>
                <w:sz w:val="32"/>
                <w:szCs w:val="32"/>
                <w:lang w:val="en-US" w:eastAsia="zh-CN"/>
              </w:rPr>
              <w:t>11</w:t>
            </w:r>
            <w:r>
              <w:rPr>
                <w:rFonts w:hint="eastAsia" w:ascii="仿宋_GB2312" w:eastAsia="仿宋_GB2312"/>
                <w:sz w:val="32"/>
                <w:szCs w:val="32"/>
                <w:lang w:val="zh-CN"/>
              </w:rPr>
              <w:t>日印发</w:t>
            </w:r>
          </w:p>
        </w:tc>
      </w:tr>
    </w:tbl>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eastAsia" w:ascii="仿宋_GB2312" w:eastAsia="仿宋_GB2312" w:hAnsiTheme="majorEastAsia"/>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wMTFhNzU4Mjc2Yjg2ZGZlMjcyOGE2MjcwM2NlZTUifQ=="/>
  </w:docVars>
  <w:rsids>
    <w:rsidRoot w:val="00637D99"/>
    <w:rsid w:val="00637D99"/>
    <w:rsid w:val="00675CD3"/>
    <w:rsid w:val="00B840E4"/>
    <w:rsid w:val="0B543D6E"/>
    <w:rsid w:val="0D4D76F0"/>
    <w:rsid w:val="0DF448CC"/>
    <w:rsid w:val="0F8B4CE8"/>
    <w:rsid w:val="111C196E"/>
    <w:rsid w:val="1DA55D97"/>
    <w:rsid w:val="1F031D4C"/>
    <w:rsid w:val="207F5422"/>
    <w:rsid w:val="270778BC"/>
    <w:rsid w:val="44192EB5"/>
    <w:rsid w:val="4B020E09"/>
    <w:rsid w:val="4B0F5202"/>
    <w:rsid w:val="4E5A11DC"/>
    <w:rsid w:val="4F376A61"/>
    <w:rsid w:val="55EC7C00"/>
    <w:rsid w:val="63B7044F"/>
    <w:rsid w:val="664D6B7A"/>
    <w:rsid w:val="75626E1B"/>
    <w:rsid w:val="76B45E35"/>
    <w:rsid w:val="7B5B0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1460</Words>
  <Characters>1471</Characters>
  <Lines>11</Lines>
  <Paragraphs>3</Paragraphs>
  <TotalTime>3</TotalTime>
  <ScaleCrop>false</ScaleCrop>
  <LinksUpToDate>false</LinksUpToDate>
  <CharactersWithSpaces>1574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2023-01-09T02:43:00Z</dcterms:created>
  <dc:creator>萌琦</dc:creator>
  <cp:lastModifiedBy>hp</cp:lastModifiedBy>
  <dcterms:modified xsi:type="dcterms:W3CDTF">2023-01-11T14:26:04Z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0DD3C44935A64D079A8BB27253C8BD22</vt:lpwstr>
  </property>
</Properties>
</file>